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A" w:rsidRDefault="000B7ACA" w:rsidP="000B7ACA">
      <w:pPr>
        <w:ind w:firstLine="3544"/>
      </w:pPr>
      <w:r>
        <w:t xml:space="preserve">  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Безруких Л.А.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Начальник управления образования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 xml:space="preserve">администрации </w:t>
      </w:r>
      <w:proofErr w:type="gramStart"/>
      <w:r w:rsidRPr="000B7ACA">
        <w:rPr>
          <w:sz w:val="28"/>
        </w:rPr>
        <w:t>Минераловодского</w:t>
      </w:r>
      <w:proofErr w:type="gramEnd"/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городского округа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г. Минеральные Воды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27 августа 2018 года</w:t>
      </w:r>
    </w:p>
    <w:p w:rsidR="000B7ACA" w:rsidRPr="000B7ACA" w:rsidRDefault="000B7ACA" w:rsidP="000B7ACA">
      <w:pPr>
        <w:ind w:firstLine="2835"/>
        <w:rPr>
          <w:rFonts w:eastAsia="Calibri"/>
          <w:sz w:val="28"/>
          <w:lang w:eastAsia="en-US"/>
        </w:rPr>
      </w:pPr>
      <w:r w:rsidRPr="000B7ACA">
        <w:rPr>
          <w:sz w:val="28"/>
        </w:rPr>
        <w:t>«</w:t>
      </w:r>
      <w:r w:rsidRPr="000B7ACA">
        <w:rPr>
          <w:rFonts w:eastAsia="Calibri"/>
          <w:sz w:val="28"/>
          <w:lang w:eastAsia="en-US"/>
        </w:rPr>
        <w:t>Содержание, цели, задачи и механизмы</w:t>
      </w:r>
    </w:p>
    <w:p w:rsidR="000B7ACA" w:rsidRPr="000B7ACA" w:rsidRDefault="000B7ACA" w:rsidP="000B7ACA">
      <w:pPr>
        <w:ind w:firstLine="2835"/>
        <w:rPr>
          <w:rFonts w:eastAsia="Calibri"/>
          <w:sz w:val="28"/>
          <w:lang w:eastAsia="en-US"/>
        </w:rPr>
      </w:pPr>
      <w:r w:rsidRPr="000B7ACA">
        <w:rPr>
          <w:rFonts w:eastAsia="Calibri"/>
          <w:sz w:val="28"/>
          <w:lang w:eastAsia="en-US"/>
        </w:rPr>
        <w:t>реализации современной образовательной</w:t>
      </w:r>
    </w:p>
    <w:p w:rsidR="000B7ACA" w:rsidRPr="000B7ACA" w:rsidRDefault="000B7ACA" w:rsidP="000B7ACA">
      <w:pPr>
        <w:ind w:firstLine="2835"/>
        <w:rPr>
          <w:rFonts w:eastAsia="Calibri"/>
          <w:sz w:val="28"/>
          <w:lang w:eastAsia="en-US"/>
        </w:rPr>
      </w:pPr>
      <w:r w:rsidRPr="000B7ACA">
        <w:rPr>
          <w:rFonts w:eastAsia="Calibri"/>
          <w:sz w:val="28"/>
          <w:lang w:eastAsia="en-US"/>
        </w:rPr>
        <w:t xml:space="preserve">политики в </w:t>
      </w:r>
      <w:proofErr w:type="gramStart"/>
      <w:r w:rsidRPr="000B7ACA">
        <w:rPr>
          <w:rFonts w:eastAsia="Calibri"/>
          <w:sz w:val="28"/>
          <w:lang w:eastAsia="en-US"/>
        </w:rPr>
        <w:t>Минераловодском</w:t>
      </w:r>
      <w:proofErr w:type="gramEnd"/>
      <w:r w:rsidRPr="000B7ACA">
        <w:rPr>
          <w:rFonts w:eastAsia="Calibri"/>
          <w:sz w:val="28"/>
          <w:lang w:eastAsia="en-US"/>
        </w:rPr>
        <w:t xml:space="preserve"> городском</w:t>
      </w:r>
    </w:p>
    <w:p w:rsidR="000B7ACA" w:rsidRDefault="000B7ACA" w:rsidP="000B7ACA">
      <w:pPr>
        <w:ind w:firstLine="2835"/>
        <w:rPr>
          <w:sz w:val="28"/>
        </w:rPr>
      </w:pPr>
      <w:r w:rsidRPr="000B7ACA">
        <w:rPr>
          <w:rFonts w:eastAsia="Calibri"/>
          <w:sz w:val="28"/>
          <w:lang w:eastAsia="en-US"/>
        </w:rPr>
        <w:t>округе</w:t>
      </w:r>
      <w:r w:rsidRPr="000B7ACA">
        <w:rPr>
          <w:sz w:val="28"/>
        </w:rPr>
        <w:t>».</w:t>
      </w:r>
    </w:p>
    <w:p w:rsidR="00B655B1" w:rsidRDefault="00B655B1" w:rsidP="000B7ACA">
      <w:pPr>
        <w:ind w:firstLine="2835"/>
        <w:rPr>
          <w:sz w:val="28"/>
        </w:rPr>
      </w:pPr>
    </w:p>
    <w:p w:rsidR="00B655B1" w:rsidRPr="000B7ACA" w:rsidRDefault="00B655B1" w:rsidP="000B7ACA">
      <w:pPr>
        <w:ind w:firstLine="2835"/>
        <w:rPr>
          <w:rFonts w:eastAsia="Calibri"/>
          <w:sz w:val="28"/>
          <w:lang w:eastAsia="en-US"/>
        </w:rPr>
      </w:pPr>
    </w:p>
    <w:tbl>
      <w:tblPr>
        <w:tblW w:w="10348" w:type="dxa"/>
        <w:tblInd w:w="-601" w:type="dxa"/>
        <w:tblLook w:val="01E0"/>
      </w:tblPr>
      <w:tblGrid>
        <w:gridCol w:w="10348"/>
      </w:tblGrid>
      <w:tr w:rsidR="00B655B1" w:rsidRPr="00031763" w:rsidTr="00B655B1">
        <w:tc>
          <w:tcPr>
            <w:tcW w:w="10348" w:type="dxa"/>
          </w:tcPr>
          <w:p w:rsidR="00B655B1" w:rsidRPr="000B7ACA" w:rsidRDefault="00B655B1" w:rsidP="000B7ACA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55B1" w:rsidRPr="000B7ACA" w:rsidRDefault="00B655B1" w:rsidP="000B7ACA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7ACA">
              <w:rPr>
                <w:rFonts w:eastAsia="Calibri"/>
                <w:sz w:val="28"/>
                <w:szCs w:val="28"/>
                <w:lang w:eastAsia="en-US"/>
              </w:rPr>
              <w:t>Уважаемые коллеги!</w:t>
            </w:r>
          </w:p>
        </w:tc>
      </w:tr>
      <w:tr w:rsidR="00B655B1" w:rsidRPr="00031763" w:rsidTr="00B655B1">
        <w:tc>
          <w:tcPr>
            <w:tcW w:w="10348" w:type="dxa"/>
          </w:tcPr>
          <w:p w:rsidR="00B655B1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Указе от 7 мая 2018 года №204 «О национальных целях и стратегических задачах развития Российской Федерации до 2024 года» Президент нашей страны В.В. Путин определил перед системой образования России цель – «вхождение Российской Федерации в число 10 ведущих стран мира по качеству общего образования».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Повышение качества общего образования в Минераловодском городском округе являлось в прошедшем учебном году основным направлением деятельности как управления образования, так и всех образовательных организаций.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Успешное образование невозможно без высококвалифицированных, подготовленных кадров. В 2017-2018 учебном году 186 педагогических и руководящих работников дошкольных и общеобразовательных учреждений прошли курсы повышения квалификации. 24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профессиональную переподготовку и получили дипломы по программе «Менеджмент в образовании».   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Свыше 500 педагогов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нашего округа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принимали участие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 работе семинаров ра</w:t>
            </w:r>
            <w:r>
              <w:rPr>
                <w:rFonts w:eastAsia="Calibri"/>
                <w:sz w:val="28"/>
                <w:szCs w:val="28"/>
                <w:lang w:eastAsia="en-US"/>
              </w:rPr>
              <w:t>зличной направленности и уровня, 580 учителей-предметников приняли участие в семинарах по повышению профессиональной компетенции.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Само время диктует нам необходимость уделять внимание подготовке педагогических кадров, работе с молодыми специалистами. По инициативе Главы Минераловодского городского округа Сергея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Перцева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и с его участием минувший учебный год начался с работы круглого стола с молодыми специалистами. 32 молодых учителя в конструктивной деловой беседе рассказали о своих проблемах в сфере педагогической деятельности, о планах на новый учебный год. В сентябре 2017 года прошел семинар молодых специалистов на базе школы №8 с. Левокумка, в нем приняли участие 22 молодых педагога.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Особую роль в том, чтобы наши дети получили качественное образование,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играет учитель. Конкурсы профессионального мастерства способствуют выявлению талантливых педагогов, распространению передового педагогического опыта, новых идей.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2017-2018 учебный год был плодотворным для участия педагогов наших образовательных учреждений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профессиональных конкурсах.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Конкурс «Учитель года» - это всегда сложное испытание и победить в нем непросто. В прошедшем учебном году 22 учителя из 14 школ приняли участие в муниципальном этапе конкурса «У</w:t>
            </w:r>
            <w:r>
              <w:rPr>
                <w:rFonts w:eastAsia="Calibri"/>
                <w:sz w:val="28"/>
                <w:szCs w:val="28"/>
                <w:lang w:eastAsia="en-US"/>
              </w:rPr>
              <w:t>читель года»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Победителем муниципального этапа конкурса стала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Атаева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Юлия Андреевна – учитель английского языка гимназии №103. В номинации «Педагогический дебют» - Степанова Екатерина Владимировна, учитель начальных классов школы №14 х. Красный Пахарь. По итогам краевого этапа конкурса «Учитель года – 2018», 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Атаева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Юлия Владимировна в десятке лучших учителей Ставропольского края.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15 классных руководителей</w:t>
            </w:r>
            <w:r w:rsidRPr="0046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приняли участие в муниципальном этапе конкурса «Воспитать человека».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Финалистами стали 4 участника: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Мокий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Светлана Владимировна, школа №4 п. Анджиевский, Ильина Наталья Сергеевна, школа №19 с. Побегайловка, Козло</w:t>
            </w:r>
            <w:r>
              <w:rPr>
                <w:rFonts w:eastAsia="Calibri"/>
                <w:sz w:val="28"/>
                <w:szCs w:val="28"/>
                <w:lang w:eastAsia="en-US"/>
              </w:rPr>
              <w:t>ва Елена Васильевна, школа №1 города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, Овчаренко Ольга Владимировна, гимназия №103. Победители муниципального этапа конкурса - Овчаренко Ольга Владимировна и Ильина Наталья Сергеевна,</w:t>
            </w:r>
            <w:r w:rsidRPr="0046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представили наш округ на краевом этапе конкурса и зан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яли 1 и 3 места соответственно.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Овчаренко Ольга Владимировна будет представлять Ставропольский край в заключительном этап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 конкурса, который пройдет в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Москве в октябре 2018 года.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краевом этапе Всероссийского конкурса «За нравственный подвиг учителя» 3 место заняла Фатеева Любовь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Лазаревна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, учитель начальных классов школы №5 с. Прикумское.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26 воспитателей дошкольных образовательных учреждений округа приняли участие в муниципальном этапе Всероссийского профессионального конкурса «Воспитатель года России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2018»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Первое место в номинации «Лучший воспитатель» заняла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Звездина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Елена Игоревна, воспитатель детского сада № 23 «Антошка» п. Новотерский, в номинации «Педагогический дебют» победителем стала воспитатель детского сада № 7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Ивушка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» - </w:t>
            </w:r>
            <w:proofErr w:type="spellStart"/>
            <w:r w:rsidRPr="00866610">
              <w:rPr>
                <w:rFonts w:eastAsia="Calibri"/>
                <w:b/>
                <w:sz w:val="28"/>
                <w:szCs w:val="28"/>
                <w:lang w:eastAsia="en-US"/>
              </w:rPr>
              <w:t>Халкѐчева</w:t>
            </w:r>
            <w:proofErr w:type="spellEnd"/>
            <w:r w:rsidRPr="008666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Ксения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Валерьевна.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Это, кстати, говорит о том, что в школы и детские сады приходят инициативные, талантливые, молодые люди со своими идеями, готовые притворять их в жизнь.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Одно из направлений современной образовательной политики – создание единой непрерывной целенаправленной системы воспитан</w:t>
            </w:r>
            <w:bookmarkStart w:id="0" w:name="_GoBack"/>
            <w:bookmarkEnd w:id="0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ия и обучения. Начало этой системы – дошкольной образование. Задача развития и повышение качества дошкольного образования всегда была приоритетной в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нашем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округе. Создание новых мест, развитие форм дошкольного образования, укрепление материальной базы дошкольных организаций являются главными механизмами реализации современной образовательной политики в Мине</w:t>
            </w:r>
            <w:r>
              <w:rPr>
                <w:rFonts w:eastAsia="Calibri"/>
                <w:sz w:val="28"/>
                <w:szCs w:val="28"/>
                <w:lang w:eastAsia="en-US"/>
              </w:rPr>
              <w:t>раловодском городском округе.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минувшем учебном году 89 дополнительных мест было создано в детских садах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33 «Радуга» и №22 «Улыбка». На базе 6 школ и 9 детских садов функционировали 21 группа кратковременного пребывания, которые посещали 185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детей. На базе детского сада №28 «Теремок» действ</w:t>
            </w:r>
            <w:r>
              <w:rPr>
                <w:rFonts w:eastAsia="Calibri"/>
                <w:sz w:val="28"/>
                <w:szCs w:val="28"/>
                <w:lang w:eastAsia="en-US"/>
              </w:rPr>
              <w:t>ует группа семейного воспитания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. При каждом дошкольном образовательном учреждении созданы консультационные пункты, которые посетили 1885 человек.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Благодаря умелой работе дошкольных учреждений по пропаганде здорового образа жизни, сохранению и укреплению здоровья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заболеваемость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детей снизилась и составила 6,8 дней на одного ребенка.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течение года была организована работа по повышению качества дошкольного образования в условиях реализации ФГОС. Для успешного решения данной задачи была продолжена работа постоянно действующего семинара для заведующих, </w:t>
            </w:r>
            <w:r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заместителей и старших воспитателей. Руководители дошкольных учреждений приняли участие в обучающем семинаре «Шкалы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Экерс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для комплексной оценки качества образования в ДОУ». Педагоги дошкольных образовательных учреждений округа стали активными участниками круглых столов, проведенных Пятигорским центром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– педагогической, медицинской и социальной помощи семье и детям.</w:t>
            </w:r>
          </w:p>
          <w:p w:rsidR="00B655B1" w:rsidRDefault="00B655B1" w:rsidP="008B4BA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соответствии с Законом «Об образовании в Российской Федерации» одной из основных задач, стоящих перед дошкольным учреждением является «взаимодействие с семьей для обеспечения полноценного развития личности ребенка».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Немаловажным фактором повышения качества образования в дошкольных учреждениях является сотрудничество с родителями. </w:t>
            </w:r>
          </w:p>
          <w:p w:rsidR="00B655B1" w:rsidRDefault="00B655B1" w:rsidP="004807CD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Во многих детских садах созданы условия для участия родителей в общественном управлении: родительское собрание, родительский комитет, представительство родителей в Совете дошкольного образовательного учреждения или Общем собрании. В большинстве дошкольных образовательных учреждениях применялись такие современные формы работы с родителями, как семинары-практикумы, педагогические гостиные, круглые столы, открытые просмотры.</w:t>
            </w:r>
          </w:p>
          <w:p w:rsidR="00B655B1" w:rsidRPr="004807CD" w:rsidRDefault="00B655B1" w:rsidP="004807CD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2"/>
              </w:rPr>
              <w:t xml:space="preserve">Умелая работа с родительской общественностью по привлечению и использованию внебюджетных средств заведующей детским садом №6 «Малышок» г. Минеральные Воды Журавлевой Оксаны </w:t>
            </w:r>
            <w:r>
              <w:rPr>
                <w:rFonts w:eastAsia="Calibri"/>
                <w:sz w:val="28"/>
                <w:szCs w:val="22"/>
              </w:rPr>
              <w:t>Ивановна</w:t>
            </w:r>
            <w:r w:rsidRPr="0046595C">
              <w:rPr>
                <w:rFonts w:eastAsia="Calibri"/>
                <w:sz w:val="28"/>
                <w:szCs w:val="22"/>
              </w:rPr>
              <w:t xml:space="preserve"> позволила предотвратить приостановку работы учреждения. 1 сентября отремонтированный детский сад вновь примет воспитанников.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На сегодня экспертизой признаны аварийными и приостановлена деятельность двух дошкольных учреждений детского сада №4 «Светлячок» г.Минеральные Воды и ДОУ №21 «Солнышко с. Ульяновка.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Ремонтные работы по устранению аварийной ситуации в детском саду №21 «Солнышко» идут полным ходом. На это выделено свыше 35 млн. рублей.</w:t>
            </w:r>
          </w:p>
          <w:p w:rsidR="00B655B1" w:rsidRPr="00744A18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Успешная реализация дошкольными образовательными организациями федерального государственного образовательного стандарта дошкольного образования позволяет создать надежную базу для обеспечения преемственности дошкольного и общего образования. </w:t>
            </w:r>
          </w:p>
          <w:p w:rsidR="00B655B1" w:rsidRPr="00CE02B2" w:rsidRDefault="00B655B1" w:rsidP="0046595C">
            <w:pPr>
              <w:ind w:firstLine="708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В Минераловодском городском округе общее образования осваивается </w:t>
            </w:r>
            <w:proofErr w:type="gramStart"/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>учащимися</w:t>
            </w:r>
            <w:proofErr w:type="gramEnd"/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как в образовательных организациях, так и в форме семейного образования.</w:t>
            </w:r>
          </w:p>
          <w:p w:rsidR="00B655B1" w:rsidRPr="00CE02B2" w:rsidRDefault="00B655B1" w:rsidP="0046595C">
            <w:pPr>
              <w:ind w:firstLine="708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E02B2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По результатам промежуточной аттестации в округе есть школы, показавшие высокие как успеваемость, так и ее качество.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2C0046">
              <w:rPr>
                <w:rFonts w:eastAsia="Calibri"/>
                <w:sz w:val="28"/>
                <w:szCs w:val="28"/>
                <w:lang w:eastAsia="en-US"/>
              </w:rPr>
              <w:t>Министерством образования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 был сформирован список из 50 общеобразовательных организаций Ставропольского края, обеспечивающих высокий уровень качества образования в 2017 году. В этот список вошли 4 школы Минераловодского городского округа: гимназия  103, лицей № 104, школа № 20</w:t>
            </w:r>
            <w:r>
              <w:rPr>
                <w:rFonts w:eastAsia="Calibri"/>
                <w:sz w:val="28"/>
                <w:szCs w:val="28"/>
                <w:lang w:eastAsia="en-US"/>
              </w:rPr>
              <w:t>, лицей № 3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Задача каждой школы – не останавливаться на достигнутом для того, что бы повышать качество, прежде всего, необходимо иметь надежную информацию о текущем состоянии и уровне развития каждой образовательной организации.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Именно поэтому как на федеральном, так и на региональном и муниципальном уровнях большое внимание уделяется созданию системы оценки качества образования, </w:t>
            </w:r>
            <w:r>
              <w:rPr>
                <w:rFonts w:eastAsia="Calibri"/>
                <w:sz w:val="28"/>
                <w:szCs w:val="28"/>
                <w:lang w:eastAsia="en-US"/>
              </w:rPr>
              <w:t>Всероссийские, региональные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 другие проверочные работы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позволяют своевременно выявлять профессиональные дефициты учителя и вносить необходимые корректировки для повышения качества преподавания предметов.</w:t>
            </w:r>
            <w:proofErr w:type="gramEnd"/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прошедшем учебном году все общеобразовательные организации округа приняли участие в этой наиболее массовой фе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деральной оценочной процедуре.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К сожалению, по итогам системного анализа результатов ВПР, проведенных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Рособрнадзором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, в 11 общеобразователь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ных организациях нашего округа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были выявлены признаки необъективности. Управлением образования, Информационно-методическим центром, коллективами школ была проведена значительная работа по анализу и выявлению причин необъективности, а также по выработке конкретных мер по устранению данного факта во всех школах округа. Приходится констатировать, что данной работы оказалось не достаточно, и по результатам проведенного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Рособрнадзором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мониторинга, в 3-х школах округа по-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прежнему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имеются признаки необъективности. Необъективные результаты всероссийских проверочных работ ни в коей мере не могут устраивать педагогическое сообщество Минераловодского городского округа! Обеспечение полной объективности при проведении ВПР – задача, которая должна быть решена окончательно в новом учебном году.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Важным показателем успешности работы педагогических коллективов являются результаты участия школьников в олимпиадах различного уровня.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Во всех школах округа в прошедшем учебном году был проведен школьный этап всероссийской олимпиады школьников. 2 129 учащихся участвовали в муниципальном этапе олимпиады. 68 учащихся наших школ приняли участие в региональном этапе олимпиады, 21 из них стали призерами, а 5 победителями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регионального этапа олимпиады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, трое из которых представляли Ставропольский край в заключительном этапе всеро</w:t>
            </w:r>
            <w:r>
              <w:rPr>
                <w:rFonts w:eastAsia="Calibri"/>
                <w:sz w:val="28"/>
                <w:szCs w:val="28"/>
                <w:lang w:eastAsia="en-US"/>
              </w:rPr>
              <w:t>ссийской олимпиады школьников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Государственная итоговая аттестация важный инструмент управления качеством образования.</w:t>
            </w:r>
            <w:r w:rsidRPr="0046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В 2018 году все выпускники 11-х кла</w:t>
            </w:r>
            <w:r>
              <w:rPr>
                <w:rFonts w:eastAsia="Calibri"/>
                <w:sz w:val="28"/>
                <w:szCs w:val="28"/>
                <w:lang w:eastAsia="en-US"/>
              </w:rPr>
              <w:t>ссов были допущены к экзаменам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Одиннадцатиклассники сдавали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экзамены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как в форме ЕГЭ, так и в форме ГВЭ. В этом году все 4 пункта проведения экзаменов были полностью технологичными. 500 педагогических работников всех школ и большого числа дошкольных учреждений округа принимали участие в проведении государственной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итоговой аттестации. Управление образования благодарит всех, кто своей работой создал достойные условия проведения экзаменов для выпускников.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Государственную итоговую аттестацию по образовательным программам среднего общего образования в этом году сдавали 551 выпускник. Все успешно сд</w:t>
            </w:r>
            <w:r>
              <w:rPr>
                <w:rFonts w:eastAsia="Calibri"/>
                <w:sz w:val="28"/>
                <w:szCs w:val="28"/>
                <w:lang w:eastAsia="en-US"/>
              </w:rPr>
              <w:t>али экзамен по русскому языку.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Вырос средний балл по русскому языку, в этом году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он составил – 73.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Значительно увеличилось количество учеников, получивших на ЕГЭ по русскому языку 80 и более баллов. 35% всех выпускников достиг</w:t>
            </w:r>
            <w:r>
              <w:rPr>
                <w:rFonts w:eastAsia="Calibri"/>
                <w:sz w:val="28"/>
                <w:szCs w:val="28"/>
                <w:lang w:eastAsia="en-US"/>
              </w:rPr>
              <w:t>ли такого высокого результата.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 половине школ округа средний балл за ЕГЭ по русскому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языку выше среднего по округу.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Наша особая гордость –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стобалльники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Два выпускника гимназии №103 г. Минеральные Воды учителей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Саруханян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Галины Петровны и Поповой Елены Викторовна получили за ЕГЭ по русскому языку максимально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озможную отметку – 100 баллов.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Улучшились результаты экзаменов по второму обязательному предмету – математике. По математике базового уровня средняя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оценка по округу составила 4.3,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а по математике профильного средний балл составил 43. Однако индивидуальные результаты выпускников по математике профильного уровня не высоки. Только 2 выпускника смогли набрать по этому предмету больше 80 баллов.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К сожалению, не все смогли успешно сдать этот обязательный предмет. 6 выпускников наших школ не смогли набрать по математике минимального количества баллов, и соответственно получить аттеста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 о среднем общем образовании.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По-прежнему среди предметов по выбору наибольшей популярностью у наших выпускников пользуется обществознание. На втор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ом месте в этом году – физика.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По большинству предметов результаты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наших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выпускнииков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улучшились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, однако по истории, биологии, географии и информатике средний балл несколько ниже прошлогоднего.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По результатам 2017/2018 учебного года 96 выпускников наших школ были награждены медалями за особые успехи в учении, золотой и серебряной медалью Ставропольского края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«За особые успехи в обучении».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На слайде видно, что по сравнению с прошлым учебным годом, медалистов стало меньше. Однако в этом году количество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медалистов, не подтвердивших свои отличные знания на ЕГЭ сократилось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до минимума. Уверена, что впредь школы Минераловодского городского округа не будут рассматриваться в контексте неподтвержденных медалей, а все медали, которыми будут награждены наши выпускники, будут выданы им именно за «особые» успехи в учении.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Если результаты экзаменов в 11 классе, в целом, можно считать хорошими, этого, к сожалению, нельзя сказать о 9-х. 16 девятиклассников не смогли освоить образовательные программы основного общего образования, и соответственно, решениями педагогических советов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были допущены к экзаменам. </w:t>
            </w:r>
          </w:p>
          <w:p w:rsidR="00B655B1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Из 1278 девятиклассников, участвовавших в экзаменах, 162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 этой задачей не справились.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Стали хуже по сравнению с прошлым годом и общие резуль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таты по большинству предметов.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Методической службой округа проводилась работа согласно плану мероприятий по повышению качества общего образования со школами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низкими результатами обучения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В ходе данной работы для учителей проводились </w:t>
            </w:r>
            <w:proofErr w:type="spellStart"/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интернет-консультации</w:t>
            </w:r>
            <w:proofErr w:type="spellEnd"/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, организована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стажировочная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площадка на базе гимназии №103.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раевым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институтом развития образования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организованы дополнительные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как для руководителей так и для их заместителей и учителей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Эта работа будет продолжена,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задача каждого педагогического коллектива – тщательно проанализировать результаты государственной итоговой аттестации девятиклассников, выстроить в школе такую систему работы, чт</w:t>
            </w:r>
            <w:r>
              <w:rPr>
                <w:rFonts w:eastAsia="Calibri"/>
                <w:sz w:val="28"/>
                <w:szCs w:val="28"/>
                <w:lang w:eastAsia="en-US"/>
              </w:rPr>
              <w:t>обы уровень освоения программ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каждого ученика был под постоянным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контролем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как администрации школы, так и каждого учителя. Особое внимание – ученикам, учеба для которых представляет определенные трудности. Индивидуальный, не формальный подход к каждому, постоянное взаимодействие с семьей - обязательные условия при работе с отстающими в учебе учениками.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К сожалению, не снижается количество нарушений порядка проведения государственной итоговой аттестации, как выпускниками, так и педаг</w:t>
            </w:r>
            <w:r>
              <w:rPr>
                <w:rFonts w:eastAsia="Calibri"/>
                <w:sz w:val="28"/>
                <w:szCs w:val="28"/>
                <w:lang w:eastAsia="en-US"/>
              </w:rPr>
              <w:t>огическими работниками.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 предстоящем учебном году отделу общего образования Управления образования совместно с информационно-методическим центром, а также каждому педагогическому коллективу предстоит провести значительную работу среди выпускников, их родителей, а также с педагогами, привлекаемыми к проведению экзаменов, направленную на полное исключение любых условий для нарушений порядка проведения экзаменов.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Важный этап в развитии каждого ребенка – профессиональное самоопределение личности. Задача каждого педагогического коллектива – способствовать правильному выбору старшеклассниками профессиональной деятельности. В минувшем учебном году министерство образования и науки РФ совместно порталом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» проводили открытые уроки в режиме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интернет-трансляции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>. Наши учащиеся принимали в них активное участие. 17 мая 2018 года был проведен всероссийский открытый урок «Доброе дело, перевернувшее мою жизнь», 475 старшеклассников округа были его участниками. В 2018-19 учебном году будет продолжена трансляция Всероссийских открытых уроков по профессиональной навигации для старшеклассников. Перед каждым коллективом стоит задача активизировать работу по участию в этих уроках.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Результатом работы по организации целевого набора в высшие учебные заведения Ставропольского края стало поступление 17 выпускников школ нашего округа в такие ВУЗы, как Ставропольская медицинская академия, Ставропольский аграрный университет, Ставропольский педагогический институт, Северокавказский федеральный университет.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Образование – это единый целенаправленный процесс не только обучения, но и воспитания. Тема патриотизма одна из доминирующих тем в воспитательной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У нас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сложилась система по патриотическому воспитанию, включающая традиционные мероприятия, акции, праздники, конкурсы, охватывающие 100 % обучающихся. Рождаются новые замечательные традиции. Так в День памяти и скорби 22 июня на мемориале «Огонь Вечной Славы» для участия в акции «Свеча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Памяти» собралис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 более 400 выпускников 2018 г., чтобы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почтить память погибших в первые дн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Великой Отечественной войны.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Самые талантливые ребята, обладающие способностями творческой деятельности, защищают честь своих школ и округа в целом, принимая участие, как в окружных, так и в краевых и всероссийских конкурсах, смотрах, фестивалях.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Гордостью воспитательной работы округа стала творческая работа – документальный фильм «Боль</w:t>
            </w:r>
            <w:r>
              <w:rPr>
                <w:rFonts w:eastAsia="Calibri"/>
                <w:sz w:val="28"/>
                <w:szCs w:val="28"/>
                <w:lang w:eastAsia="en-US"/>
              </w:rPr>
              <w:t>шая трагедия маленького города»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ученика гимназии  №103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Епифанцева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лексея. </w:t>
            </w:r>
            <w:proofErr w:type="gramStart"/>
            <w:r w:rsidRPr="00AB5D34">
              <w:rPr>
                <w:rFonts w:eastAsia="Calibri"/>
                <w:b/>
                <w:sz w:val="28"/>
                <w:szCs w:val="28"/>
                <w:lang w:eastAsia="en-US"/>
              </w:rPr>
              <w:t>Первое место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на краевом, пер</w:t>
            </w:r>
            <w:r>
              <w:rPr>
                <w:rFonts w:eastAsia="Calibri"/>
                <w:sz w:val="28"/>
                <w:szCs w:val="28"/>
                <w:lang w:eastAsia="en-US"/>
              </w:rPr>
              <w:t>вое место на всероссийских этапах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международного конкурса «Память о Холокосте – путь к толерантности»!!! </w:t>
            </w:r>
            <w:proofErr w:type="gramEnd"/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 Наряду с традиционными формами работы идет процесс обновления содержания дополнительного образования и расширения спектра услуг.  В течение учебного года начали работу 6 новых клубов в муниципальном центре дополнительного образования детей, 2 новых объединения - в Доме детского творчества.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доме детского творчества почти 800 человек занимались по 28 прог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раммам.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Было проведено 258 массовых мероприятий и конкурсов. </w:t>
            </w:r>
            <w:r>
              <w:rPr>
                <w:rFonts w:eastAsia="Calibri"/>
                <w:sz w:val="28"/>
                <w:szCs w:val="28"/>
                <w:lang w:eastAsia="en-US"/>
              </w:rPr>
              <w:t>Воспитанники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ДДТ получили 421 диплом   в конкурсах различных уровней.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Растут ряды юнармейских отрядов. Число юнармейцев    выросло за год на 129 человек. Сегодня в рядах юнармейцев 531 школьник. Прочные связи налажены местным отделением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Юнармии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» с военными частями КМВ и Ставропольского края.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Активное участие юнармейцев в патриотических мероприятиях поставило их в число лидеров юнармейского движения края. 14 юнармейцев были приглашены принять участие в работе военно-патриотической смены «Служу Отечеству» во всероссийском детском центре «Орлёнок». Петренко Елизавета стала победителем краевого конкурса «Лучший командир юнармейского отряда». Вместе с Ивановой Татьяной она   была приглашены в Москву, на празднование 73-й годовщины Великой Победы.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Опыт патриотического воспитания Минераловодского городского округа достойно представлен на краевом уровне: Сильченко Александр Николаевич выступал на совещании при Губернаторе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>, на краевой педагогической конференции 24 августа 2018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, на заседании Думы Ставропольского края выступал руководитель местного отделения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Юнармии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» Давыдов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Армен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Альбертович. Опыт центра дополнительного образования обобщен   на научно-практической конференции «Профилактика адаптивного поведения на примере патриотического воспитания» в г. Ессентуки, на 3–ем Краевом патриотическом форуме Ставропольского края,  на Слете  юнармейского актива Северокавказского федерального округа в Ингушетии.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Воспитанники учреждений дополнительного образования   приняли участие в большинстве краевых конкурсов, посвященных годовщине Победы. 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Победителями и призерами краевого этапа конкурса «Наследники Победы» стали 3 воспитанника   ДДТ, награжденные поездкой в г. Волгоград на празднование Дня Победы.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Есаян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Кристина стала победителем трех краевых и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четырех международных конкурсах.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Краевые детско-юношеские общественные организации   широко используют опыт директора Дома творчества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Петрич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Ольги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Изяславовны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  по   руководств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 деятельностью Минераловодской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детско-юношеской общественной организацией «Радуга». Члены организации провели 40 массовых мероприятий и акций, стали лауреатами краевого конкурса «Лидер», победителями   и призерами краевого конкурса детских СМИ «На </w:t>
            </w:r>
            <w:r>
              <w:rPr>
                <w:rFonts w:eastAsia="Calibri"/>
                <w:sz w:val="28"/>
                <w:szCs w:val="28"/>
                <w:lang w:eastAsia="en-US"/>
              </w:rPr>
              <w:t>45-й параллели». Звание «Лидер г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ода - 2018» присвоено двенадцати школьным детским общественным организациям и объединениям.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рамках обновления региональной системы образования центр дополнительного образования продолжил развитие экскурсионной деятельности, в том числе по памятным местам боевой славы Минераловодского района и Ставропольского края. Более полутора тысяч школьников приняли участие в 37 экскурсиях и 29 походах.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Важнейшими задачами системы дополнительного образования в Минераловодском городском округе на предстоящий учебный год должны стать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Успехи педагогических коллективов нашего округа в воспитательной работе значительны. Однако, к сожалению, остается ряд нерешенных проблем, главной из которых является профилактика правонарушений среди несовершеннолетних.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За минувший год почти в 2 раза увеличилось количество подростков, со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стоящих на всех видах учета.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На конец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2017-2018 учебного года на учете в отделе по делам несовершеннолетних состоит 63 несовершеннолетних, что на 29 человек больше, чем в прошлом учебном году.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Увеличилось и количество несовершеннолетних, которые состоят на учете в комиссии по делам несовершеннолетних и защите их прав с 28 до 63 обучающихся).    </w:t>
            </w:r>
            <w:proofErr w:type="gramEnd"/>
          </w:p>
          <w:p w:rsidR="00B655B1" w:rsidRPr="0046595C" w:rsidRDefault="00B655B1" w:rsidP="0046595C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Проблемой остаются несовершеннолетние, не посещающие занятия. Ни один случай пропуска без уважительной причины отдельных предметов или одного дня нельзя оставлять без внимания. Хотя   количество обучающихся, не посещающих школу сократилось с 9 до 7 человек, профилактическую работу нужно вести систематически.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Еще одним очень серьезным вопросом является травматизм в быту, на дорогах, а также в образовательных учреждениях.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В 2017-2018 учебном году с несовершеннолетними произошло 13 дорожно-транспортных происшествий (из них одно, повлекшее за собой смерть ребенка дошкольного возраста), 44 бытовых травм (4 ребенка погибли), 13 учащихся получили травмы в образовательных учреждениях, 7 – на уроках физической культуры.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Продолжает оставаться острой и проблема так называемых  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зацеперов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», совершающих безрассудные поступки, рискующие собственными жизнями. В минувшем учебном году произошло два нечастных случая на железной дороге с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подростками нашего округа, и один из них, к сожалению, со смертельным исходом.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До конца не решенной остается проблема проведения в общеобразовательных учреждениях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 В 2017-2018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учебной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году из 5169 несовершеннолетних, подлежащих тестированию, прошли тестирование только 3 463 человека, не во всех школах сотрудники смогли донести до родителей важность данного мероприятия. А между тем из полученных результатов 6% детей могут быть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отнесены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к группе риска.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Работа по социально-психологическому тестированию продолжится в течение первой четверти 2018-2019 учебного года.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Профилактике безнадзорности и правонарушений были посвящены два заседания родительского унив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ерситета педагогических знаний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и краевое.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Всеми педагогическими коллективами округа необходимо провести тщательный анализ причин и условий, способствующих совершению правонарушений, и принять исчерпывающие меры для их предупреждения.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Важным механизмом достижения качественного образования является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сохранение и укрепление здоровья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учащихся, организация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летнего отдыха детей. </w:t>
            </w:r>
          </w:p>
          <w:p w:rsidR="00B655B1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Летом 2018 года в Минераловодском городском округе работали 29 пришкольных оздоровительных лагерей дневного содержания детей, в кот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орых отдохнули 3410 школьников,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один палаточный лагерь с круглосуточным пребыванием, три пришкол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ьные оздоровительные площадки.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Все воспитанники детских домов – школьники (46 человек) отдохнули в оздоровительных центрах Ставропольского края. 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течение лета проведены не только традиционные массовые мероприятия. Впервые в июне 2018 года по инициативе краевой Федерации спортивного ориентирования проведен фестиваль «Ориентирование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–ш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ахматы на бегу». Совместно с комитетом по физкультуре и спорту проведен Олимпийский день, посвященный   Юношеским Олимпийским играм 2018 в Буэнос-Айресе. В проведении Олимпийского дня приняли участие более 500 человек.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Впервые во всех пришкольных лагерях проведены мероприятия, посвященные повышению финансовой грамотности школьников.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Реализация стоящих перед системой образования Минераловодского городского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задач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требует весомой финансовой поддержки. В 2018 году общий объём расходов по отрасли «Образование» в округе составит 600 млн. рублей.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Продолжается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работа по реализации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Майских Указов Президента РФ. С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редняя заработная плата у педагогических работников школ и дополнительных образований остается на уровне 2017 года, рост заработной платы работников дошкольных учреждений около 4 % по сравнению с 2017 годом.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С 01 января 2018 года минимальный размер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оплаты труда прочих работников всех образовательных учреждений округа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увеличен до 11 163 рублей в месяц.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Для 7 200 учащихся образовательных учреждений продолжилась организация 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бесплатного горячего питания. В истекшем учебном году на это было потрачено 31 млн. рублей.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На организацию питания в пришкольных лагеря 7 млн. рублей.</w:t>
            </w:r>
            <w:proofErr w:type="gramEnd"/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Прошедший учебный год - год активного участия в краевых программах на условиях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Заменены оконные блоки в детском саду № 16 «Красная шапочка», №19 «Колобок», детский сад №14 «Олененок», №198 «Белоснежка», №13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Журавушка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», в школах №5 с. Прикумское, №6 с. Нагутское, №9 с. Розовка, №4 п.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Анджиевского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, №20 г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инеральные Воды. На это выделено 10 млн. рублей: из краевого бюджета 9  млн. руб.,   из местного 1 млн. рублей.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Участие в  краевых программах позволило заменить кровлю в школе № 19 с.Побегайловка. На это было выделено - 5 млн.  рублей из краевого бюджета,  и 1 млн. рублей – из местного.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Начат ремонт спортивного зала школы №5 с. Прикумское (2 млн. рублей),  а на создание спортивного клуба запланировано 370 тыс. руб.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В рамках ГОССТАНДАРТА  для обеспечения учебниками обучающихся школ округа  в  2018 году было закуплено 37 000  экземпляров учебников на общую сумму 7 млн. рублей.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В 2017/18 учебном году значительно расширился автопарк в наших учреждениях. В рамках федеральной программы для организации подвоза детей было получено 5 автобусов (СОШ №10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>. Перевальный, СОШ №11 п. Новотерский, СОШ №6 с. Нагутское, СОШ №8 с. Ульяновка). Подвоз учащихся в общеобразовательные учреждения осуществляется не только в полном объеме, но и согласно всем нормам законодательства.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>Для реализации мероприятий по противопожарной б</w:t>
            </w:r>
            <w:r>
              <w:rPr>
                <w:rFonts w:eastAsia="Calibri"/>
                <w:sz w:val="28"/>
                <w:szCs w:val="28"/>
                <w:lang w:eastAsia="en-US"/>
              </w:rPr>
              <w:t>езопасности в 2018 году выделено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4 млн. рублей, на мероприятия по  антитеррору - 4 млн. руб., н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а программу «Энергосбережение» 8 млн.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, на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проведение капитального ремонта образовательных учреждений 2 млн. рублей. 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учреждения нашего округа были приняты комиссией к новому учебному году. И здесь отдельные слова благодарности тем учреждениям, которые активно работали по привлечению внебюджетных средств: платные образовательные услуги, благотворительные, безвозмездные пожертвования. Гимназия №103 - более полутора миллионов, лицей №104 - около 500 тыс., свыше 470 тыс. школа №7, свыше 200 тыс. школы 20 и лицей №3. Дошкольные образовательные учреждения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Дельфиненок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>, «Белоснежка»</w:t>
            </w:r>
            <w:r w:rsidRPr="0046595C">
              <w:rPr>
                <w:rFonts w:eastAsia="Calibri"/>
                <w:sz w:val="28"/>
                <w:szCs w:val="28"/>
                <w:lang w:eastAsia="en-US"/>
              </w:rPr>
              <w:t>, «Сказка», «Аленький цветочек», «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Ивушка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>» привлекли более 1 млн. 200 тыс. руб. Все эти суммы были использованы на улучшение и укрепление материально-технической базы вышеперечисленных учреждений.</w:t>
            </w:r>
          </w:p>
          <w:p w:rsidR="00B655B1" w:rsidRPr="0046595C" w:rsidRDefault="00B655B1" w:rsidP="0046595C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Директор Дома детского творчества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Петрич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Ольга </w:t>
            </w:r>
            <w:proofErr w:type="spellStart"/>
            <w:r w:rsidRPr="0046595C">
              <w:rPr>
                <w:rFonts w:eastAsia="Calibri"/>
                <w:sz w:val="28"/>
                <w:szCs w:val="28"/>
                <w:lang w:eastAsia="en-US"/>
              </w:rPr>
              <w:t>Изяславовна</w:t>
            </w:r>
            <w:proofErr w:type="spell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благодаря умелой работе по привлечению внебюджетных средств смогла обновить, вдохнуть вторую жизнь в старейшее здание города. </w:t>
            </w:r>
            <w:proofErr w:type="gramStart"/>
            <w:r w:rsidRPr="0046595C">
              <w:rPr>
                <w:rFonts w:eastAsia="Calibri"/>
                <w:sz w:val="28"/>
                <w:szCs w:val="28"/>
                <w:lang w:eastAsia="en-US"/>
              </w:rPr>
              <w:t>Отремонтированы</w:t>
            </w:r>
            <w:proofErr w:type="gramEnd"/>
            <w:r w:rsidRPr="0046595C">
              <w:rPr>
                <w:rFonts w:eastAsia="Calibri"/>
                <w:sz w:val="28"/>
                <w:szCs w:val="28"/>
                <w:lang w:eastAsia="en-US"/>
              </w:rPr>
              <w:t xml:space="preserve"> зал, сцена, идет работа по замене кресел.</w:t>
            </w:r>
          </w:p>
          <w:p w:rsidR="00B655B1" w:rsidRDefault="00B655B1" w:rsidP="00E828F4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Уважаемые участники конференции! Все доложенное выше  указывает на очень большую работу, которая предстоит в новом учебном году.</w:t>
            </w:r>
          </w:p>
          <w:p w:rsidR="00B655B1" w:rsidRDefault="00B655B1" w:rsidP="00E828F4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Приоритетные задачи 2018-2019 учебного года, стоящие перед образованием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округа следующие:</w:t>
            </w:r>
          </w:p>
          <w:p w:rsidR="00B655B1" w:rsidRPr="006040CC" w:rsidRDefault="00B655B1" w:rsidP="00003BBE">
            <w:pPr>
              <w:ind w:firstLine="3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Активизировать работу по повышению качества образования. Обеспечить полную объективность знаний учащихся.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повышению квалификации педагогических работников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со школами, дающими низкие результаты обучения.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Усилить работу, направленную на исключения любых нарушений порядка проведения итоговой аттестации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профессиональной ориентации учащихся. Способствовать правильному выбору старшеклассниками профессиональной деятельности.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Организовать целенаправленную и качественную подготовку детей для успешного участия на Всероссийской олимпиаде школьников.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Усилить работу по повышению качества профилактики правонарушений среди учащихся.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Активизировать работу по обновлению содержания, расширению спектра услуг дополнительного образования.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Работать по увеличению охвата детей дополнительным образованием.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патриотическому воспитанию дошкольников и школьников округа.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Продолжить работу по модернизации материально-технической базы и инфраструктуры всех образовательных организаций округа.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Повысить доступность дошкольного образования через создание дополнительных мест,  в том числе за счет вариативных форм образования.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поставленные задачи на новый учебный год мы можем только сообща учитель-родитель-ученик.</w:t>
            </w:r>
          </w:p>
          <w:p w:rsidR="00B655B1" w:rsidRDefault="00B655B1" w:rsidP="00003BBE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Уважаемые друзья, я желаю, чтобы задачи, стоящие перед нами были выполнены! У каждого учителя, воспитателя, педагогического работника в новом учебном году были только позитивные изменения. Чтобы успех и удача никогда не покидали вас.</w:t>
            </w:r>
          </w:p>
          <w:p w:rsidR="00B655B1" w:rsidRDefault="00B655B1" w:rsidP="00582046">
            <w:pPr>
              <w:ind w:firstLine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наступающим новым учебным годом!</w:t>
            </w:r>
          </w:p>
          <w:p w:rsidR="00B655B1" w:rsidRDefault="00B655B1" w:rsidP="006567B9">
            <w:pPr>
              <w:spacing w:line="276" w:lineRule="auto"/>
              <w:ind w:firstLine="317"/>
              <w:jc w:val="left"/>
              <w:rPr>
                <w:sz w:val="28"/>
                <w:szCs w:val="28"/>
                <w:lang w:eastAsia="en-US"/>
              </w:rPr>
            </w:pPr>
          </w:p>
          <w:p w:rsidR="00B655B1" w:rsidRDefault="00B655B1" w:rsidP="00136E08">
            <w:pPr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342E99" w:rsidRPr="00981AA4" w:rsidRDefault="00342E99" w:rsidP="00981AA4">
      <w:pPr>
        <w:rPr>
          <w:sz w:val="28"/>
          <w:szCs w:val="28"/>
        </w:rPr>
      </w:pPr>
    </w:p>
    <w:sectPr w:rsidR="00342E99" w:rsidRPr="00981AA4" w:rsidSect="007F10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73" w:rsidRDefault="00AB1373" w:rsidP="00424244">
      <w:r>
        <w:separator/>
      </w:r>
    </w:p>
  </w:endnote>
  <w:endnote w:type="continuationSeparator" w:id="0">
    <w:p w:rsidR="00AB1373" w:rsidRDefault="00AB1373" w:rsidP="0042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73" w:rsidRDefault="00AB1373" w:rsidP="00424244">
      <w:r>
        <w:separator/>
      </w:r>
    </w:p>
  </w:footnote>
  <w:footnote w:type="continuationSeparator" w:id="0">
    <w:p w:rsidR="00AB1373" w:rsidRDefault="00AB1373" w:rsidP="0042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003284"/>
      <w:docPartObj>
        <w:docPartGallery w:val="Page Numbers (Top of Page)"/>
        <w:docPartUnique/>
      </w:docPartObj>
    </w:sdtPr>
    <w:sdtContent>
      <w:p w:rsidR="00F466E6" w:rsidRDefault="006E4F1E">
        <w:pPr>
          <w:pStyle w:val="a5"/>
          <w:jc w:val="center"/>
        </w:pPr>
        <w:r>
          <w:fldChar w:fldCharType="begin"/>
        </w:r>
        <w:r w:rsidR="00F466E6">
          <w:instrText>PAGE   \* MERGEFORMAT</w:instrText>
        </w:r>
        <w:r>
          <w:fldChar w:fldCharType="separate"/>
        </w:r>
        <w:r w:rsidR="00B655B1">
          <w:rPr>
            <w:noProof/>
          </w:rPr>
          <w:t>1</w:t>
        </w:r>
        <w:r>
          <w:fldChar w:fldCharType="end"/>
        </w:r>
      </w:p>
    </w:sdtContent>
  </w:sdt>
  <w:p w:rsidR="00424244" w:rsidRDefault="004242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EA0"/>
    <w:multiLevelType w:val="hybridMultilevel"/>
    <w:tmpl w:val="97DE9DD0"/>
    <w:lvl w:ilvl="0" w:tplc="628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0D"/>
    <w:rsid w:val="000007B9"/>
    <w:rsid w:val="00003BBE"/>
    <w:rsid w:val="000047AB"/>
    <w:rsid w:val="000058FC"/>
    <w:rsid w:val="00006CC6"/>
    <w:rsid w:val="00007870"/>
    <w:rsid w:val="00007A58"/>
    <w:rsid w:val="00017DF8"/>
    <w:rsid w:val="00021010"/>
    <w:rsid w:val="0002155E"/>
    <w:rsid w:val="00024321"/>
    <w:rsid w:val="0002752B"/>
    <w:rsid w:val="00030585"/>
    <w:rsid w:val="00034A39"/>
    <w:rsid w:val="00041E22"/>
    <w:rsid w:val="000472A7"/>
    <w:rsid w:val="0004782D"/>
    <w:rsid w:val="000535B6"/>
    <w:rsid w:val="00054312"/>
    <w:rsid w:val="00055017"/>
    <w:rsid w:val="00055517"/>
    <w:rsid w:val="00056A9D"/>
    <w:rsid w:val="000623F5"/>
    <w:rsid w:val="000636E1"/>
    <w:rsid w:val="00070D5F"/>
    <w:rsid w:val="000775F8"/>
    <w:rsid w:val="00077746"/>
    <w:rsid w:val="00080BAA"/>
    <w:rsid w:val="00082A68"/>
    <w:rsid w:val="00082CCC"/>
    <w:rsid w:val="000867F7"/>
    <w:rsid w:val="000900B4"/>
    <w:rsid w:val="00096C43"/>
    <w:rsid w:val="000A3A11"/>
    <w:rsid w:val="000A7C38"/>
    <w:rsid w:val="000B7ACA"/>
    <w:rsid w:val="000B7FFA"/>
    <w:rsid w:val="000C11A6"/>
    <w:rsid w:val="000C6D21"/>
    <w:rsid w:val="000D017F"/>
    <w:rsid w:val="000D0DA8"/>
    <w:rsid w:val="000D497D"/>
    <w:rsid w:val="000D77ED"/>
    <w:rsid w:val="000E1F61"/>
    <w:rsid w:val="000E2A7F"/>
    <w:rsid w:val="000E62AA"/>
    <w:rsid w:val="000F05A4"/>
    <w:rsid w:val="000F5A10"/>
    <w:rsid w:val="00112C52"/>
    <w:rsid w:val="00113D0E"/>
    <w:rsid w:val="001147CF"/>
    <w:rsid w:val="0011485D"/>
    <w:rsid w:val="00131EA8"/>
    <w:rsid w:val="0013597C"/>
    <w:rsid w:val="00141D46"/>
    <w:rsid w:val="0014347C"/>
    <w:rsid w:val="0014678B"/>
    <w:rsid w:val="00146874"/>
    <w:rsid w:val="00146EA2"/>
    <w:rsid w:val="00154634"/>
    <w:rsid w:val="00156656"/>
    <w:rsid w:val="001619DA"/>
    <w:rsid w:val="00162FA5"/>
    <w:rsid w:val="00163BA3"/>
    <w:rsid w:val="00163D93"/>
    <w:rsid w:val="001724C3"/>
    <w:rsid w:val="00174FE5"/>
    <w:rsid w:val="00183E30"/>
    <w:rsid w:val="001931C2"/>
    <w:rsid w:val="001A0A14"/>
    <w:rsid w:val="001A0E96"/>
    <w:rsid w:val="001A1CCB"/>
    <w:rsid w:val="001A1D49"/>
    <w:rsid w:val="001A295B"/>
    <w:rsid w:val="001A3ECB"/>
    <w:rsid w:val="001A42D4"/>
    <w:rsid w:val="001B019B"/>
    <w:rsid w:val="001B1674"/>
    <w:rsid w:val="001D24ED"/>
    <w:rsid w:val="001D2B62"/>
    <w:rsid w:val="001E4315"/>
    <w:rsid w:val="001F4BEB"/>
    <w:rsid w:val="00207472"/>
    <w:rsid w:val="0020795A"/>
    <w:rsid w:val="00217437"/>
    <w:rsid w:val="00222875"/>
    <w:rsid w:val="00226F78"/>
    <w:rsid w:val="002306BC"/>
    <w:rsid w:val="00236B13"/>
    <w:rsid w:val="0024239E"/>
    <w:rsid w:val="0026797C"/>
    <w:rsid w:val="002700EE"/>
    <w:rsid w:val="0027525E"/>
    <w:rsid w:val="00277D81"/>
    <w:rsid w:val="002803F7"/>
    <w:rsid w:val="002810E8"/>
    <w:rsid w:val="00283A8E"/>
    <w:rsid w:val="00285461"/>
    <w:rsid w:val="00286B5B"/>
    <w:rsid w:val="002922C4"/>
    <w:rsid w:val="00293310"/>
    <w:rsid w:val="00293ED8"/>
    <w:rsid w:val="002A4D8D"/>
    <w:rsid w:val="002B47D8"/>
    <w:rsid w:val="002B7796"/>
    <w:rsid w:val="002C0046"/>
    <w:rsid w:val="002C16ED"/>
    <w:rsid w:val="002C2664"/>
    <w:rsid w:val="002C3CDB"/>
    <w:rsid w:val="002D4428"/>
    <w:rsid w:val="002D44FF"/>
    <w:rsid w:val="002E18AC"/>
    <w:rsid w:val="002E2417"/>
    <w:rsid w:val="002E4C1F"/>
    <w:rsid w:val="002F1C7A"/>
    <w:rsid w:val="002F44CE"/>
    <w:rsid w:val="002F6A2D"/>
    <w:rsid w:val="002F7709"/>
    <w:rsid w:val="003069C0"/>
    <w:rsid w:val="00312C9E"/>
    <w:rsid w:val="00315ACA"/>
    <w:rsid w:val="00317162"/>
    <w:rsid w:val="003264B1"/>
    <w:rsid w:val="00326BA5"/>
    <w:rsid w:val="00327C89"/>
    <w:rsid w:val="00333B91"/>
    <w:rsid w:val="0033409F"/>
    <w:rsid w:val="00340E52"/>
    <w:rsid w:val="003424F0"/>
    <w:rsid w:val="00342E99"/>
    <w:rsid w:val="003464D9"/>
    <w:rsid w:val="00360FA9"/>
    <w:rsid w:val="003644BC"/>
    <w:rsid w:val="003676A7"/>
    <w:rsid w:val="00370EF1"/>
    <w:rsid w:val="0038046D"/>
    <w:rsid w:val="0038138E"/>
    <w:rsid w:val="003A1BDD"/>
    <w:rsid w:val="003B3739"/>
    <w:rsid w:val="003B5FB2"/>
    <w:rsid w:val="003B6E71"/>
    <w:rsid w:val="003C4544"/>
    <w:rsid w:val="003C7265"/>
    <w:rsid w:val="003D0650"/>
    <w:rsid w:val="003D1DCF"/>
    <w:rsid w:val="003D4CDE"/>
    <w:rsid w:val="003E203C"/>
    <w:rsid w:val="003E6C25"/>
    <w:rsid w:val="003E7E3E"/>
    <w:rsid w:val="003F3E66"/>
    <w:rsid w:val="003F5423"/>
    <w:rsid w:val="00404BD3"/>
    <w:rsid w:val="004053C3"/>
    <w:rsid w:val="00405716"/>
    <w:rsid w:val="0041347D"/>
    <w:rsid w:val="0041568A"/>
    <w:rsid w:val="0041659F"/>
    <w:rsid w:val="004207E9"/>
    <w:rsid w:val="00424244"/>
    <w:rsid w:val="00424C37"/>
    <w:rsid w:val="004319E4"/>
    <w:rsid w:val="00442EF2"/>
    <w:rsid w:val="00445DCC"/>
    <w:rsid w:val="00457CEA"/>
    <w:rsid w:val="0046595C"/>
    <w:rsid w:val="00465CC7"/>
    <w:rsid w:val="00474769"/>
    <w:rsid w:val="004807CD"/>
    <w:rsid w:val="00482570"/>
    <w:rsid w:val="004848CE"/>
    <w:rsid w:val="00486345"/>
    <w:rsid w:val="004A1E23"/>
    <w:rsid w:val="004A4B0E"/>
    <w:rsid w:val="004A5636"/>
    <w:rsid w:val="004B18AE"/>
    <w:rsid w:val="004B300A"/>
    <w:rsid w:val="004C1ED4"/>
    <w:rsid w:val="004D1A6D"/>
    <w:rsid w:val="004E22B7"/>
    <w:rsid w:val="004E3A19"/>
    <w:rsid w:val="004E7FAB"/>
    <w:rsid w:val="004F0272"/>
    <w:rsid w:val="004F1951"/>
    <w:rsid w:val="004F22ED"/>
    <w:rsid w:val="004F47C0"/>
    <w:rsid w:val="004F56DD"/>
    <w:rsid w:val="00501925"/>
    <w:rsid w:val="005177E5"/>
    <w:rsid w:val="005220F5"/>
    <w:rsid w:val="00522ED2"/>
    <w:rsid w:val="00524CB0"/>
    <w:rsid w:val="00537171"/>
    <w:rsid w:val="00545285"/>
    <w:rsid w:val="00545BD9"/>
    <w:rsid w:val="0054668D"/>
    <w:rsid w:val="005652EE"/>
    <w:rsid w:val="00565F54"/>
    <w:rsid w:val="00573C8A"/>
    <w:rsid w:val="00577533"/>
    <w:rsid w:val="00582046"/>
    <w:rsid w:val="00591C6D"/>
    <w:rsid w:val="00594A2A"/>
    <w:rsid w:val="005A6083"/>
    <w:rsid w:val="005B3416"/>
    <w:rsid w:val="005B3CAA"/>
    <w:rsid w:val="005B4524"/>
    <w:rsid w:val="005B72E5"/>
    <w:rsid w:val="005C1B43"/>
    <w:rsid w:val="005C6940"/>
    <w:rsid w:val="005D0895"/>
    <w:rsid w:val="005E44F0"/>
    <w:rsid w:val="005F6F6E"/>
    <w:rsid w:val="005F7E64"/>
    <w:rsid w:val="00603857"/>
    <w:rsid w:val="006040CC"/>
    <w:rsid w:val="006070AF"/>
    <w:rsid w:val="00617415"/>
    <w:rsid w:val="00620148"/>
    <w:rsid w:val="00622168"/>
    <w:rsid w:val="00622ED4"/>
    <w:rsid w:val="00626E7E"/>
    <w:rsid w:val="0063157E"/>
    <w:rsid w:val="00635020"/>
    <w:rsid w:val="0063644E"/>
    <w:rsid w:val="006446FD"/>
    <w:rsid w:val="00644838"/>
    <w:rsid w:val="006504DD"/>
    <w:rsid w:val="006538C4"/>
    <w:rsid w:val="006567B9"/>
    <w:rsid w:val="00666237"/>
    <w:rsid w:val="00667BAD"/>
    <w:rsid w:val="0067148B"/>
    <w:rsid w:val="00671510"/>
    <w:rsid w:val="006720AB"/>
    <w:rsid w:val="00676971"/>
    <w:rsid w:val="00681749"/>
    <w:rsid w:val="006827A6"/>
    <w:rsid w:val="006B3A2D"/>
    <w:rsid w:val="006B5761"/>
    <w:rsid w:val="006C4987"/>
    <w:rsid w:val="006C4C0A"/>
    <w:rsid w:val="006C58A7"/>
    <w:rsid w:val="006C5940"/>
    <w:rsid w:val="006D1B88"/>
    <w:rsid w:val="006D3D2C"/>
    <w:rsid w:val="006E0A73"/>
    <w:rsid w:val="006E4F1E"/>
    <w:rsid w:val="006E7876"/>
    <w:rsid w:val="006F48F3"/>
    <w:rsid w:val="006F597A"/>
    <w:rsid w:val="006F62DF"/>
    <w:rsid w:val="006F7982"/>
    <w:rsid w:val="0070104F"/>
    <w:rsid w:val="00701F0B"/>
    <w:rsid w:val="007040FE"/>
    <w:rsid w:val="00711EBD"/>
    <w:rsid w:val="0071712C"/>
    <w:rsid w:val="0071716C"/>
    <w:rsid w:val="0072046F"/>
    <w:rsid w:val="00730A83"/>
    <w:rsid w:val="0073411C"/>
    <w:rsid w:val="00744A18"/>
    <w:rsid w:val="007456F5"/>
    <w:rsid w:val="00747026"/>
    <w:rsid w:val="00754FA6"/>
    <w:rsid w:val="007623F5"/>
    <w:rsid w:val="00772D0D"/>
    <w:rsid w:val="00774E37"/>
    <w:rsid w:val="007753FF"/>
    <w:rsid w:val="00781C36"/>
    <w:rsid w:val="00786856"/>
    <w:rsid w:val="00796A30"/>
    <w:rsid w:val="007A186F"/>
    <w:rsid w:val="007A4A94"/>
    <w:rsid w:val="007A4BB7"/>
    <w:rsid w:val="007A5C0F"/>
    <w:rsid w:val="007B23A8"/>
    <w:rsid w:val="007B2824"/>
    <w:rsid w:val="007B3230"/>
    <w:rsid w:val="007C5AAB"/>
    <w:rsid w:val="007C6E75"/>
    <w:rsid w:val="007D0BD3"/>
    <w:rsid w:val="007D20ED"/>
    <w:rsid w:val="007D335A"/>
    <w:rsid w:val="007D3874"/>
    <w:rsid w:val="007D65F0"/>
    <w:rsid w:val="007D7BF3"/>
    <w:rsid w:val="007E20ED"/>
    <w:rsid w:val="007E22CD"/>
    <w:rsid w:val="007E54B8"/>
    <w:rsid w:val="007E6B46"/>
    <w:rsid w:val="007F10C1"/>
    <w:rsid w:val="007F5B17"/>
    <w:rsid w:val="007F6CAB"/>
    <w:rsid w:val="008064B3"/>
    <w:rsid w:val="008165F1"/>
    <w:rsid w:val="00816E53"/>
    <w:rsid w:val="00821D94"/>
    <w:rsid w:val="008241F6"/>
    <w:rsid w:val="0082489D"/>
    <w:rsid w:val="00834779"/>
    <w:rsid w:val="0083625D"/>
    <w:rsid w:val="008373A6"/>
    <w:rsid w:val="00842672"/>
    <w:rsid w:val="00851A25"/>
    <w:rsid w:val="00851D00"/>
    <w:rsid w:val="00861019"/>
    <w:rsid w:val="00862C0E"/>
    <w:rsid w:val="00865F42"/>
    <w:rsid w:val="00866610"/>
    <w:rsid w:val="00872A21"/>
    <w:rsid w:val="00872FDB"/>
    <w:rsid w:val="008801C1"/>
    <w:rsid w:val="00880C7F"/>
    <w:rsid w:val="00892ECD"/>
    <w:rsid w:val="008A0966"/>
    <w:rsid w:val="008A30EF"/>
    <w:rsid w:val="008A51FA"/>
    <w:rsid w:val="008A6D96"/>
    <w:rsid w:val="008A7CA1"/>
    <w:rsid w:val="008B4BAB"/>
    <w:rsid w:val="008E4F29"/>
    <w:rsid w:val="008F42E0"/>
    <w:rsid w:val="008F761D"/>
    <w:rsid w:val="008F7B92"/>
    <w:rsid w:val="00906229"/>
    <w:rsid w:val="00907A69"/>
    <w:rsid w:val="00911DC5"/>
    <w:rsid w:val="009177B6"/>
    <w:rsid w:val="00922E54"/>
    <w:rsid w:val="00927103"/>
    <w:rsid w:val="00935A34"/>
    <w:rsid w:val="00952DCA"/>
    <w:rsid w:val="00961760"/>
    <w:rsid w:val="0096293F"/>
    <w:rsid w:val="00963CEB"/>
    <w:rsid w:val="00964506"/>
    <w:rsid w:val="00966D27"/>
    <w:rsid w:val="00966EB2"/>
    <w:rsid w:val="009676D0"/>
    <w:rsid w:val="009716B1"/>
    <w:rsid w:val="009719C9"/>
    <w:rsid w:val="0097300E"/>
    <w:rsid w:val="00977EB0"/>
    <w:rsid w:val="00981AA4"/>
    <w:rsid w:val="009938BB"/>
    <w:rsid w:val="00995783"/>
    <w:rsid w:val="009A1795"/>
    <w:rsid w:val="009B2DDC"/>
    <w:rsid w:val="009B4E40"/>
    <w:rsid w:val="009C1CA6"/>
    <w:rsid w:val="009D5C31"/>
    <w:rsid w:val="009D6C1B"/>
    <w:rsid w:val="009D7BAE"/>
    <w:rsid w:val="009D7C8E"/>
    <w:rsid w:val="009E4212"/>
    <w:rsid w:val="009E4DD2"/>
    <w:rsid w:val="009F033F"/>
    <w:rsid w:val="00A067A1"/>
    <w:rsid w:val="00A16F25"/>
    <w:rsid w:val="00A17F90"/>
    <w:rsid w:val="00A24048"/>
    <w:rsid w:val="00A30A31"/>
    <w:rsid w:val="00A30BDE"/>
    <w:rsid w:val="00A367FC"/>
    <w:rsid w:val="00A40095"/>
    <w:rsid w:val="00A417AC"/>
    <w:rsid w:val="00A4618C"/>
    <w:rsid w:val="00A60BEE"/>
    <w:rsid w:val="00A84505"/>
    <w:rsid w:val="00A85AB0"/>
    <w:rsid w:val="00A913F2"/>
    <w:rsid w:val="00AB1373"/>
    <w:rsid w:val="00AB1F11"/>
    <w:rsid w:val="00AB3E59"/>
    <w:rsid w:val="00AB5D34"/>
    <w:rsid w:val="00AC44F4"/>
    <w:rsid w:val="00AF350B"/>
    <w:rsid w:val="00AF3EDA"/>
    <w:rsid w:val="00B04DCD"/>
    <w:rsid w:val="00B06D52"/>
    <w:rsid w:val="00B07111"/>
    <w:rsid w:val="00B10766"/>
    <w:rsid w:val="00B10814"/>
    <w:rsid w:val="00B15336"/>
    <w:rsid w:val="00B20E27"/>
    <w:rsid w:val="00B248D1"/>
    <w:rsid w:val="00B24D2A"/>
    <w:rsid w:val="00B26CCB"/>
    <w:rsid w:val="00B44B2F"/>
    <w:rsid w:val="00B50039"/>
    <w:rsid w:val="00B655B1"/>
    <w:rsid w:val="00B713BE"/>
    <w:rsid w:val="00B719A8"/>
    <w:rsid w:val="00B7208C"/>
    <w:rsid w:val="00B755A2"/>
    <w:rsid w:val="00B85589"/>
    <w:rsid w:val="00B86919"/>
    <w:rsid w:val="00B914AA"/>
    <w:rsid w:val="00B93AC5"/>
    <w:rsid w:val="00B95B02"/>
    <w:rsid w:val="00B9695B"/>
    <w:rsid w:val="00BA3BA9"/>
    <w:rsid w:val="00BA5A02"/>
    <w:rsid w:val="00BB2D62"/>
    <w:rsid w:val="00BB445C"/>
    <w:rsid w:val="00BB59A7"/>
    <w:rsid w:val="00BB6D14"/>
    <w:rsid w:val="00BC2561"/>
    <w:rsid w:val="00BC5BDD"/>
    <w:rsid w:val="00BC7F0B"/>
    <w:rsid w:val="00BD2C2C"/>
    <w:rsid w:val="00BD6B9D"/>
    <w:rsid w:val="00BF18DC"/>
    <w:rsid w:val="00BF2660"/>
    <w:rsid w:val="00BF4E45"/>
    <w:rsid w:val="00C02F99"/>
    <w:rsid w:val="00C04471"/>
    <w:rsid w:val="00C1274A"/>
    <w:rsid w:val="00C16249"/>
    <w:rsid w:val="00C26380"/>
    <w:rsid w:val="00C31DE1"/>
    <w:rsid w:val="00C346C4"/>
    <w:rsid w:val="00C3536D"/>
    <w:rsid w:val="00C4023E"/>
    <w:rsid w:val="00C4109B"/>
    <w:rsid w:val="00C7166A"/>
    <w:rsid w:val="00C7226A"/>
    <w:rsid w:val="00C80E34"/>
    <w:rsid w:val="00C84DAF"/>
    <w:rsid w:val="00C87953"/>
    <w:rsid w:val="00C90655"/>
    <w:rsid w:val="00C90E88"/>
    <w:rsid w:val="00C931A0"/>
    <w:rsid w:val="00C9426C"/>
    <w:rsid w:val="00C942D6"/>
    <w:rsid w:val="00CA18AB"/>
    <w:rsid w:val="00CA1EF4"/>
    <w:rsid w:val="00CA2F21"/>
    <w:rsid w:val="00CA5478"/>
    <w:rsid w:val="00CA643C"/>
    <w:rsid w:val="00CA6956"/>
    <w:rsid w:val="00CB565D"/>
    <w:rsid w:val="00CB72A5"/>
    <w:rsid w:val="00CC55C6"/>
    <w:rsid w:val="00CE02B2"/>
    <w:rsid w:val="00CE5B4D"/>
    <w:rsid w:val="00CF0705"/>
    <w:rsid w:val="00CF0E96"/>
    <w:rsid w:val="00CF3931"/>
    <w:rsid w:val="00CF663D"/>
    <w:rsid w:val="00D01F95"/>
    <w:rsid w:val="00D03CE1"/>
    <w:rsid w:val="00D044D1"/>
    <w:rsid w:val="00D056D2"/>
    <w:rsid w:val="00D11C4A"/>
    <w:rsid w:val="00D11E71"/>
    <w:rsid w:val="00D12037"/>
    <w:rsid w:val="00D13EA8"/>
    <w:rsid w:val="00D22332"/>
    <w:rsid w:val="00D256FB"/>
    <w:rsid w:val="00D30F52"/>
    <w:rsid w:val="00D35BA6"/>
    <w:rsid w:val="00D45E65"/>
    <w:rsid w:val="00D5761B"/>
    <w:rsid w:val="00D60B52"/>
    <w:rsid w:val="00D73368"/>
    <w:rsid w:val="00D84640"/>
    <w:rsid w:val="00D905D2"/>
    <w:rsid w:val="00D91E68"/>
    <w:rsid w:val="00D92B43"/>
    <w:rsid w:val="00D97903"/>
    <w:rsid w:val="00DA2527"/>
    <w:rsid w:val="00DB2006"/>
    <w:rsid w:val="00DB661E"/>
    <w:rsid w:val="00DB6752"/>
    <w:rsid w:val="00DC30A5"/>
    <w:rsid w:val="00DD500C"/>
    <w:rsid w:val="00DE031F"/>
    <w:rsid w:val="00DE3C27"/>
    <w:rsid w:val="00DE58B3"/>
    <w:rsid w:val="00DE654B"/>
    <w:rsid w:val="00DF3B0E"/>
    <w:rsid w:val="00E11D71"/>
    <w:rsid w:val="00E12B7C"/>
    <w:rsid w:val="00E13FBE"/>
    <w:rsid w:val="00E31D26"/>
    <w:rsid w:val="00E3402C"/>
    <w:rsid w:val="00E36737"/>
    <w:rsid w:val="00E4562B"/>
    <w:rsid w:val="00E45A42"/>
    <w:rsid w:val="00E46C87"/>
    <w:rsid w:val="00E566DA"/>
    <w:rsid w:val="00E6410D"/>
    <w:rsid w:val="00E66849"/>
    <w:rsid w:val="00E70F54"/>
    <w:rsid w:val="00E722D5"/>
    <w:rsid w:val="00E73CF6"/>
    <w:rsid w:val="00E77C63"/>
    <w:rsid w:val="00E828F4"/>
    <w:rsid w:val="00E92A4C"/>
    <w:rsid w:val="00EA0748"/>
    <w:rsid w:val="00EA191D"/>
    <w:rsid w:val="00EA3731"/>
    <w:rsid w:val="00EA7D5E"/>
    <w:rsid w:val="00EB7397"/>
    <w:rsid w:val="00EC06F4"/>
    <w:rsid w:val="00ED2CAF"/>
    <w:rsid w:val="00ED6F5E"/>
    <w:rsid w:val="00EE116D"/>
    <w:rsid w:val="00EF1F85"/>
    <w:rsid w:val="00EF4CF4"/>
    <w:rsid w:val="00F040C6"/>
    <w:rsid w:val="00F11E87"/>
    <w:rsid w:val="00F1292D"/>
    <w:rsid w:val="00F15030"/>
    <w:rsid w:val="00F272AF"/>
    <w:rsid w:val="00F32DDA"/>
    <w:rsid w:val="00F41292"/>
    <w:rsid w:val="00F450AE"/>
    <w:rsid w:val="00F466E6"/>
    <w:rsid w:val="00F51AA8"/>
    <w:rsid w:val="00F559A8"/>
    <w:rsid w:val="00F77EF2"/>
    <w:rsid w:val="00F82A14"/>
    <w:rsid w:val="00F83895"/>
    <w:rsid w:val="00F839B3"/>
    <w:rsid w:val="00F952D6"/>
    <w:rsid w:val="00F978B0"/>
    <w:rsid w:val="00FB33E8"/>
    <w:rsid w:val="00FB392A"/>
    <w:rsid w:val="00FB3A96"/>
    <w:rsid w:val="00FC5122"/>
    <w:rsid w:val="00FD0638"/>
    <w:rsid w:val="00FD09B8"/>
    <w:rsid w:val="00FD5CC0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5">
    <w:name w:val="header"/>
    <w:basedOn w:val="a"/>
    <w:link w:val="a6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72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c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9E42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8666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5">
    <w:name w:val="header"/>
    <w:basedOn w:val="a"/>
    <w:link w:val="a6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72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c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9E42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866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6ED7-A946-4E31-B529-52A1AB52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2018-08-17T11:08:00Z</cp:lastPrinted>
  <dcterms:created xsi:type="dcterms:W3CDTF">2019-02-05T13:39:00Z</dcterms:created>
  <dcterms:modified xsi:type="dcterms:W3CDTF">2019-02-05T13:39:00Z</dcterms:modified>
</cp:coreProperties>
</file>